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0B3B" w:rsidRDefault="00BD0B3B" w:rsidP="00BD0B3B">
      <w:pPr>
        <w:pStyle w:val="NormalWeb"/>
        <w:jc w:val="center"/>
        <w:rPr>
          <w:b/>
          <w:bCs/>
          <w:sz w:val="28"/>
          <w:szCs w:val="28"/>
        </w:rPr>
      </w:pPr>
      <w:r w:rsidRPr="00BD0B3B">
        <w:rPr>
          <w:b/>
          <w:bCs/>
          <w:sz w:val="28"/>
          <w:szCs w:val="28"/>
        </w:rPr>
        <w:t xml:space="preserve">Industrial and Innovation Visit to </w:t>
      </w:r>
    </w:p>
    <w:p w:rsidR="00BD0B3B" w:rsidRPr="00BD0B3B" w:rsidRDefault="00BD0B3B" w:rsidP="00BD0B3B">
      <w:pPr>
        <w:pStyle w:val="NormalWeb"/>
        <w:jc w:val="center"/>
        <w:rPr>
          <w:b/>
          <w:bCs/>
          <w:sz w:val="28"/>
          <w:szCs w:val="28"/>
        </w:rPr>
      </w:pPr>
      <w:proofErr w:type="spellStart"/>
      <w:r w:rsidRPr="00BD0B3B">
        <w:rPr>
          <w:b/>
          <w:bCs/>
          <w:sz w:val="28"/>
          <w:szCs w:val="28"/>
        </w:rPr>
        <w:t>Kaynes</w:t>
      </w:r>
      <w:proofErr w:type="spellEnd"/>
      <w:r w:rsidRPr="00BD0B3B">
        <w:rPr>
          <w:b/>
          <w:bCs/>
          <w:sz w:val="28"/>
          <w:szCs w:val="28"/>
        </w:rPr>
        <w:t xml:space="preserve"> Semiconductor Plant and </w:t>
      </w:r>
      <w:proofErr w:type="spellStart"/>
      <w:r w:rsidRPr="00BD0B3B">
        <w:rPr>
          <w:b/>
          <w:bCs/>
          <w:sz w:val="28"/>
          <w:szCs w:val="28"/>
        </w:rPr>
        <w:t>iHub</w:t>
      </w:r>
      <w:proofErr w:type="spellEnd"/>
      <w:r w:rsidRPr="00BD0B3B">
        <w:rPr>
          <w:b/>
          <w:bCs/>
          <w:sz w:val="28"/>
          <w:szCs w:val="28"/>
        </w:rPr>
        <w:t xml:space="preserve"> Gujarat</w:t>
      </w:r>
    </w:p>
    <w:p w:rsidR="00BD0B3B" w:rsidRDefault="00BD0B3B" w:rsidP="00BD0B3B">
      <w:pPr>
        <w:pStyle w:val="NormalWeb"/>
        <w:jc w:val="both"/>
      </w:pPr>
      <w:r>
        <w:t xml:space="preserve">An educational and industrial visit was organized for students of Government Engineering College (GEC), Bhuj on 31st March 2026 to </w:t>
      </w:r>
      <w:proofErr w:type="spellStart"/>
      <w:r>
        <w:rPr>
          <w:rStyle w:val="whitespace-normal"/>
        </w:rPr>
        <w:t>Kaynes</w:t>
      </w:r>
      <w:proofErr w:type="spellEnd"/>
      <w:r>
        <w:rPr>
          <w:rStyle w:val="whitespace-normal"/>
        </w:rPr>
        <w:t xml:space="preserve"> Technology</w:t>
      </w:r>
      <w:r>
        <w:t xml:space="preserve"> (Semiconductor Plant) and </w:t>
      </w:r>
      <w:proofErr w:type="spellStart"/>
      <w:r>
        <w:rPr>
          <w:rStyle w:val="whitespace-normal"/>
        </w:rPr>
        <w:t>iHub</w:t>
      </w:r>
      <w:proofErr w:type="spellEnd"/>
      <w:r>
        <w:rPr>
          <w:rStyle w:val="whitespace-normal"/>
        </w:rPr>
        <w:t xml:space="preserve"> Gujarat</w:t>
      </w:r>
      <w:r>
        <w:t>. The primary objective of the visit was to provide students with practical exposure to advanced manufacturing processes and the innovation ecosystem.</w:t>
      </w:r>
    </w:p>
    <w:p w:rsidR="00BD0B3B" w:rsidRDefault="00BD0B3B" w:rsidP="00BD0B3B">
      <w:pPr>
        <w:pStyle w:val="NormalWeb"/>
        <w:jc w:val="both"/>
      </w:pPr>
      <w:r>
        <w:t xml:space="preserve">The first visit was to the newly inaugurated semiconductor plant of </w:t>
      </w:r>
      <w:proofErr w:type="spellStart"/>
      <w:r>
        <w:t>Kaynes</w:t>
      </w:r>
      <w:proofErr w:type="spellEnd"/>
      <w:r>
        <w:t xml:space="preserve"> Technology. This </w:t>
      </w:r>
      <w:bookmarkStart w:id="0" w:name="_GoBack"/>
      <w:bookmarkEnd w:id="0"/>
      <w:r>
        <w:t>state-of-the-art facility provided students with an opportunity to understand the emerging semiconductor manufacturing ecosystem in India. During the visit, students were introduced to various stages of semiconductor and electronic manufacturing processes, including PCB assembly, component integration, testing, and quality assurance. The experts explained the importance of precision, cleanroom environments, and automation in ensuring high-quality production. Students also gained insights into the growing demand for semiconductor technologies and India’s push towards self-reliance in this sector.</w:t>
      </w:r>
    </w:p>
    <w:p w:rsidR="00BD0B3B" w:rsidRDefault="00BD0B3B" w:rsidP="00BD0B3B">
      <w:pPr>
        <w:pStyle w:val="NormalWeb"/>
        <w:jc w:val="both"/>
      </w:pPr>
      <w:r>
        <w:t xml:space="preserve">Following the industrial visit, the group visited </w:t>
      </w:r>
      <w:proofErr w:type="spellStart"/>
      <w:r>
        <w:t>iHub</w:t>
      </w:r>
      <w:proofErr w:type="spellEnd"/>
      <w:r>
        <w:t xml:space="preserve"> Gujarat, an innovation hub focused on promoting </w:t>
      </w:r>
      <w:proofErr w:type="spellStart"/>
      <w:r>
        <w:t>startups</w:t>
      </w:r>
      <w:proofErr w:type="spellEnd"/>
      <w:r>
        <w:t xml:space="preserve">, research, and technological development. At </w:t>
      </w:r>
      <w:proofErr w:type="spellStart"/>
      <w:r>
        <w:t>iHub</w:t>
      </w:r>
      <w:proofErr w:type="spellEnd"/>
      <w:r>
        <w:t xml:space="preserve">, students were exposed to the </w:t>
      </w:r>
      <w:proofErr w:type="spellStart"/>
      <w:r>
        <w:t>startup</w:t>
      </w:r>
      <w:proofErr w:type="spellEnd"/>
      <w:r>
        <w:t xml:space="preserve"> ecosystem, incubation support systems, and funding opportunities available for young innovators. The session included discussions on how innovative ideas can be transformed into viable products and scalable businesses through mentoring, prototyping, and collaboration.</w:t>
      </w:r>
    </w:p>
    <w:p w:rsidR="00BD0B3B" w:rsidRDefault="00BD0B3B" w:rsidP="00BD0B3B">
      <w:pPr>
        <w:pStyle w:val="NormalWeb"/>
        <w:jc w:val="both"/>
      </w:pPr>
      <w:r>
        <w:t>The visit provided a balanced exposure to both industrial manufacturing and innovation-driven entrepreneurship. It helped students connect theoretical concepts with real-world applications and understand the pathway from idea generation to product development and commercialization.</w:t>
      </w:r>
    </w:p>
    <w:p w:rsidR="00BD0B3B" w:rsidRDefault="00BD0B3B" w:rsidP="00BD0B3B">
      <w:pPr>
        <w:pStyle w:val="NormalWeb"/>
        <w:jc w:val="both"/>
      </w:pPr>
      <w:r>
        <w:t>Overall, the visit was highly enriching and offered valuable insights into modern industry practices and innovation ecosystems, motivating students to explore opportunities in core engineering industries as well as entrepreneurship.</w:t>
      </w:r>
    </w:p>
    <w:p w:rsidR="00AD6C1B" w:rsidRDefault="00BD0B3B" w:rsidP="00BD0B3B">
      <w:pPr>
        <w:jc w:val="both"/>
        <w:rPr>
          <w:rFonts w:ascii="Times New Roman" w:eastAsia="Times New Roman" w:hAnsi="Times New Roman" w:cs="Times New Roman"/>
          <w:sz w:val="24"/>
          <w:szCs w:val="24"/>
          <w:lang w:eastAsia="en-IN"/>
        </w:rPr>
      </w:pPr>
      <w:r w:rsidRPr="00BD0B3B">
        <w:rPr>
          <w:rFonts w:ascii="Times New Roman" w:eastAsia="Times New Roman" w:hAnsi="Times New Roman" w:cs="Times New Roman"/>
          <w:sz w:val="24"/>
          <w:szCs w:val="24"/>
          <w:lang w:eastAsia="en-IN"/>
        </w:rPr>
        <w:t xml:space="preserve">Number of student participants: 50 </w:t>
      </w:r>
    </w:p>
    <w:p w:rsidR="00BD0B3B" w:rsidRDefault="00BD0B3B" w:rsidP="00BD0B3B">
      <w:pPr>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Faculty coordinator: Prof. R. T. Patel</w:t>
      </w:r>
    </w:p>
    <w:p w:rsidR="00BD0B3B" w:rsidRDefault="00BD0B3B" w:rsidP="00BD0B3B">
      <w:pPr>
        <w:jc w:val="both"/>
        <w:rPr>
          <w:rFonts w:ascii="Times New Roman" w:eastAsia="Times New Roman" w:hAnsi="Times New Roman" w:cs="Times New Roman"/>
          <w:sz w:val="24"/>
          <w:szCs w:val="24"/>
          <w:lang w:eastAsia="en-IN"/>
        </w:rPr>
      </w:pPr>
      <w:r>
        <w:rPr>
          <w:noProof/>
        </w:rPr>
        <w:lastRenderedPageBreak/>
        <w:drawing>
          <wp:inline distT="0" distB="0" distL="0" distR="0">
            <wp:extent cx="2733675" cy="423855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744737" cy="4255703"/>
                    </a:xfrm>
                    <a:prstGeom prst="rect">
                      <a:avLst/>
                    </a:prstGeom>
                    <a:noFill/>
                    <a:ln>
                      <a:noFill/>
                    </a:ln>
                  </pic:spPr>
                </pic:pic>
              </a:graphicData>
            </a:graphic>
          </wp:inline>
        </w:drawing>
      </w:r>
      <w:r>
        <w:rPr>
          <w:noProof/>
        </w:rPr>
        <w:drawing>
          <wp:inline distT="0" distB="0" distL="0" distR="0" wp14:anchorId="7BCE8123" wp14:editId="3C3D1E2A">
            <wp:extent cx="2876330" cy="4218940"/>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83726" cy="4229788"/>
                    </a:xfrm>
                    <a:prstGeom prst="rect">
                      <a:avLst/>
                    </a:prstGeom>
                    <a:noFill/>
                    <a:ln>
                      <a:noFill/>
                    </a:ln>
                  </pic:spPr>
                </pic:pic>
              </a:graphicData>
            </a:graphic>
          </wp:inline>
        </w:drawing>
      </w:r>
    </w:p>
    <w:p w:rsidR="00BD0B3B" w:rsidRDefault="00BD0B3B" w:rsidP="00BD0B3B">
      <w:pPr>
        <w:pBdr>
          <w:bottom w:val="dotted" w:sz="24" w:space="1" w:color="auto"/>
        </w:pBdr>
        <w:jc w:val="both"/>
        <w:rPr>
          <w:rFonts w:ascii="Times New Roman" w:eastAsia="Times New Roman" w:hAnsi="Times New Roman" w:cs="Times New Roman"/>
          <w:sz w:val="24"/>
          <w:szCs w:val="24"/>
          <w:lang w:eastAsia="en-IN"/>
        </w:rPr>
      </w:pPr>
      <w:r>
        <w:rPr>
          <w:noProof/>
        </w:rPr>
        <w:drawing>
          <wp:inline distT="0" distB="0" distL="0" distR="0">
            <wp:extent cx="5800443" cy="326274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20507" cy="3274035"/>
                    </a:xfrm>
                    <a:prstGeom prst="rect">
                      <a:avLst/>
                    </a:prstGeom>
                    <a:noFill/>
                    <a:ln>
                      <a:noFill/>
                    </a:ln>
                  </pic:spPr>
                </pic:pic>
              </a:graphicData>
            </a:graphic>
          </wp:inline>
        </w:drawing>
      </w:r>
    </w:p>
    <w:p w:rsidR="00BD0B3B" w:rsidRDefault="00BD0B3B" w:rsidP="00BD0B3B">
      <w:pPr>
        <w:pBdr>
          <w:bottom w:val="dotted" w:sz="24" w:space="1" w:color="auto"/>
        </w:pBdr>
        <w:jc w:val="both"/>
        <w:rPr>
          <w:rFonts w:ascii="Times New Roman" w:eastAsia="Times New Roman" w:hAnsi="Times New Roman" w:cs="Times New Roman"/>
          <w:sz w:val="24"/>
          <w:szCs w:val="24"/>
          <w:lang w:eastAsia="en-IN"/>
        </w:rPr>
      </w:pPr>
    </w:p>
    <w:p w:rsidR="00BD0B3B" w:rsidRPr="00BD0B3B" w:rsidRDefault="00BD0B3B" w:rsidP="00BD0B3B">
      <w:pPr>
        <w:jc w:val="both"/>
        <w:rPr>
          <w:rFonts w:ascii="Times New Roman" w:eastAsia="Times New Roman" w:hAnsi="Times New Roman" w:cs="Times New Roman"/>
          <w:sz w:val="24"/>
          <w:szCs w:val="24"/>
          <w:lang w:eastAsia="en-IN"/>
        </w:rPr>
      </w:pPr>
    </w:p>
    <w:sectPr w:rsidR="00BD0B3B" w:rsidRPr="00BD0B3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Latha">
    <w:panose1 w:val="02000400000000000000"/>
    <w:charset w:val="00"/>
    <w:family w:val="swiss"/>
    <w:pitch w:val="variable"/>
    <w:sig w:usb0="001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B3B"/>
    <w:rsid w:val="00AD6C1B"/>
    <w:rsid w:val="00BD0B3B"/>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64209"/>
  <w15:chartTrackingRefBased/>
  <w15:docId w15:val="{024178EB-EB4B-48DB-8C73-1554735FA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gu-IN"/>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Lath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D0B3B"/>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whitespace-normal">
    <w:name w:val="whitespace-normal"/>
    <w:basedOn w:val="DefaultParagraphFont"/>
    <w:rsid w:val="00BD0B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464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325</Words>
  <Characters>1855</Characters>
  <Application>Microsoft Office Word</Application>
  <DocSecurity>0</DocSecurity>
  <Lines>15</Lines>
  <Paragraphs>4</Paragraphs>
  <ScaleCrop>false</ScaleCrop>
  <Company/>
  <LinksUpToDate>false</LinksUpToDate>
  <CharactersWithSpaces>2176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GAUTAM V BHATT</dc:creator>
  <cp:keywords/>
  <dc:description/>
  <cp:lastModifiedBy>GAUTAM V BHATT</cp:lastModifiedBy>
  <cp:revision>1</cp:revision>
  <dcterms:created xsi:type="dcterms:W3CDTF">2026-04-20T09:06:00Z</dcterms:created>
  <dcterms:modified xsi:type="dcterms:W3CDTF">2026-04-20T09:12:00Z</dcterms:modified>
</cp:coreProperties>
</file>